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667A67" w:rsidRDefault="00667A67" w:rsidP="00E21C1B">
      <w:pPr>
        <w:rPr>
          <w:rFonts w:asciiTheme="minorHAnsi" w:hAnsiTheme="minorHAnsi" w:cstheme="minorHAnsi"/>
        </w:rPr>
      </w:pPr>
    </w:p>
    <w:p w:rsidR="00667A67" w:rsidRDefault="00667A67" w:rsidP="00E21C1B">
      <w:pPr>
        <w:rPr>
          <w:rFonts w:asciiTheme="minorHAnsi" w:hAnsiTheme="minorHAnsi" w:cstheme="minorHAnsi"/>
        </w:rPr>
      </w:pPr>
      <w:bookmarkStart w:id="0" w:name="_GoBack"/>
      <w:bookmarkEnd w:id="0"/>
    </w:p>
    <w:p w:rsidR="00667A67" w:rsidRDefault="00667A67" w:rsidP="00465E89">
      <w:pPr>
        <w:spacing w:line="300" w:lineRule="exact"/>
        <w:rPr>
          <w:rFonts w:asciiTheme="minorHAnsi" w:hAnsiTheme="minorHAnsi" w:cstheme="minorHAnsi"/>
          <w:b/>
          <w:sz w:val="32"/>
          <w:szCs w:val="32"/>
          <w:lang w:val="de-DE"/>
        </w:rPr>
      </w:pPr>
      <w:r w:rsidRPr="00667A67">
        <w:rPr>
          <w:rFonts w:asciiTheme="minorHAnsi" w:hAnsiTheme="minorHAnsi" w:cstheme="minorHAnsi"/>
          <w:b/>
          <w:sz w:val="32"/>
          <w:szCs w:val="32"/>
          <w:lang w:val="de-DE"/>
        </w:rPr>
        <w:t>Ankündigung Europameisterschaft für Luftdruckwaffen Győr</w:t>
      </w:r>
    </w:p>
    <w:p w:rsidR="000E0A5A" w:rsidRPr="00667A67" w:rsidRDefault="00A3122D" w:rsidP="00465E89">
      <w:pPr>
        <w:spacing w:line="300" w:lineRule="exact"/>
        <w:rPr>
          <w:rFonts w:asciiTheme="minorHAnsi" w:hAnsiTheme="minorHAnsi" w:cstheme="minorHAnsi"/>
          <w:b/>
          <w:lang w:val="de-DE"/>
        </w:rPr>
      </w:pPr>
      <w:r w:rsidRPr="00667A67">
        <w:rPr>
          <w:rFonts w:asciiTheme="minorHAnsi" w:hAnsiTheme="minorHAnsi" w:cstheme="minorHAnsi"/>
          <w:sz w:val="18"/>
          <w:szCs w:val="18"/>
          <w:lang w:val="de-DE"/>
        </w:rPr>
        <w:t>1</w:t>
      </w:r>
      <w:r w:rsidR="00667A67">
        <w:rPr>
          <w:rFonts w:asciiTheme="minorHAnsi" w:hAnsiTheme="minorHAnsi" w:cstheme="minorHAnsi"/>
          <w:sz w:val="18"/>
          <w:szCs w:val="18"/>
          <w:lang w:val="de-DE"/>
        </w:rPr>
        <w:t>6</w:t>
      </w:r>
      <w:r w:rsidR="000E0A5A" w:rsidRPr="00667A67">
        <w:rPr>
          <w:rFonts w:asciiTheme="minorHAnsi" w:hAnsiTheme="minorHAnsi" w:cstheme="minorHAnsi"/>
          <w:sz w:val="18"/>
          <w:szCs w:val="18"/>
          <w:lang w:val="de-DE"/>
        </w:rPr>
        <w:t xml:space="preserve">. </w:t>
      </w:r>
      <w:r w:rsidR="00EC0F5F" w:rsidRPr="00667A67">
        <w:rPr>
          <w:rFonts w:asciiTheme="minorHAnsi" w:hAnsiTheme="minorHAnsi" w:cstheme="minorHAnsi"/>
          <w:sz w:val="18"/>
          <w:szCs w:val="18"/>
          <w:lang w:val="de-DE"/>
        </w:rPr>
        <w:t>Februar</w:t>
      </w:r>
      <w:r w:rsidR="000E0A5A" w:rsidRPr="00667A67">
        <w:rPr>
          <w:rFonts w:asciiTheme="minorHAnsi" w:hAnsiTheme="minorHAnsi" w:cstheme="minorHAnsi"/>
          <w:sz w:val="18"/>
          <w:szCs w:val="18"/>
          <w:lang w:val="de-DE"/>
        </w:rPr>
        <w:t xml:space="preserve"> 202</w:t>
      </w:r>
      <w:r w:rsidR="00410A13" w:rsidRPr="00667A67">
        <w:rPr>
          <w:rFonts w:asciiTheme="minorHAnsi" w:hAnsiTheme="minorHAnsi" w:cstheme="minorHAnsi"/>
          <w:sz w:val="18"/>
          <w:szCs w:val="18"/>
          <w:lang w:val="de-DE"/>
        </w:rPr>
        <w:t>4</w:t>
      </w:r>
    </w:p>
    <w:p w:rsidR="00A3122D" w:rsidRPr="00A3122D" w:rsidRDefault="00A3122D" w:rsidP="00386C81">
      <w:pPr>
        <w:spacing w:line="360" w:lineRule="auto"/>
        <w:contextualSpacing/>
        <w:rPr>
          <w:rFonts w:asciiTheme="minorHAnsi" w:hAnsiTheme="minorHAnsi" w:cstheme="minorHAnsi"/>
          <w:bCs/>
        </w:rPr>
      </w:pPr>
    </w:p>
    <w:p w:rsidR="00667A67" w:rsidRPr="00667A67" w:rsidRDefault="00667A67" w:rsidP="00667A67">
      <w:pPr>
        <w:spacing w:line="360" w:lineRule="auto"/>
        <w:contextualSpacing/>
        <w:rPr>
          <w:rFonts w:asciiTheme="minorHAnsi" w:hAnsiTheme="minorHAnsi" w:cstheme="minorHAnsi"/>
          <w:b/>
          <w:bCs/>
        </w:rPr>
      </w:pPr>
      <w:r w:rsidRPr="00667A67">
        <w:rPr>
          <w:rFonts w:asciiTheme="minorHAnsi" w:hAnsiTheme="minorHAnsi" w:cstheme="minorHAnsi"/>
          <w:b/>
          <w:bCs/>
        </w:rPr>
        <w:t>Unmittelbar nach dem aktuell laufenden ISSF Weltcup in Granada geht es für das ÖSB-Team weiter zur Europameisterschaft für Luftgewehr und Luftpistole, die von 24. Februar bis 3. März im ungarischen Győr stattfinden wird.</w:t>
      </w:r>
    </w:p>
    <w:p w:rsidR="00667A67" w:rsidRDefault="00667A67" w:rsidP="00667A67">
      <w:pPr>
        <w:spacing w:line="360" w:lineRule="auto"/>
        <w:contextualSpacing/>
        <w:rPr>
          <w:rFonts w:asciiTheme="minorHAnsi" w:hAnsiTheme="minorHAnsi" w:cstheme="minorHAnsi"/>
          <w:bCs/>
        </w:rPr>
      </w:pPr>
    </w:p>
    <w:p w:rsidR="00667A67" w:rsidRPr="00667A67" w:rsidRDefault="00667A67" w:rsidP="00667A67">
      <w:pPr>
        <w:spacing w:line="360" w:lineRule="auto"/>
        <w:contextualSpacing/>
        <w:rPr>
          <w:rFonts w:asciiTheme="minorHAnsi" w:hAnsiTheme="minorHAnsi" w:cstheme="minorHAnsi"/>
          <w:bCs/>
        </w:rPr>
      </w:pPr>
      <w:r w:rsidRPr="00667A67">
        <w:rPr>
          <w:rFonts w:asciiTheme="minorHAnsi" w:hAnsiTheme="minorHAnsi" w:cstheme="minorHAnsi"/>
          <w:bCs/>
        </w:rPr>
        <w:t>In diesem Jahr kommt der Europameisterschaft für Luftdruckwaffen eine ganz besondere Bedeutung zu: Die AthletInnen des ÖSB-Teams haben nicht nur Finalplatzierungen und Medaillen im Visier – so manche/r darf sich auch berechtigte Hoffnung auf ein Olympiaticket machen. In den Einzelbewerben Luftgewehr und Luftpistole der Allgemeinen Klasse werden jeweils zwei Olympiaquotenplätze für die Spiele in Frankreich vergeben.</w:t>
      </w:r>
    </w:p>
    <w:p w:rsidR="00667A67" w:rsidRDefault="00667A67" w:rsidP="00667A67">
      <w:pPr>
        <w:spacing w:line="360" w:lineRule="auto"/>
        <w:contextualSpacing/>
        <w:rPr>
          <w:rFonts w:asciiTheme="minorHAnsi" w:hAnsiTheme="minorHAnsi" w:cstheme="minorHAnsi"/>
          <w:bCs/>
        </w:rPr>
      </w:pPr>
    </w:p>
    <w:p w:rsidR="00667A67" w:rsidRPr="00667A67" w:rsidRDefault="00667A67" w:rsidP="00667A67">
      <w:pPr>
        <w:spacing w:line="360" w:lineRule="auto"/>
        <w:contextualSpacing/>
        <w:rPr>
          <w:rFonts w:asciiTheme="minorHAnsi" w:hAnsiTheme="minorHAnsi" w:cstheme="minorHAnsi"/>
          <w:bCs/>
        </w:rPr>
      </w:pPr>
      <w:r w:rsidRPr="00667A67">
        <w:rPr>
          <w:rFonts w:asciiTheme="minorHAnsi" w:hAnsiTheme="minorHAnsi" w:cstheme="minorHAnsi"/>
          <w:bCs/>
        </w:rPr>
        <w:t xml:space="preserve">Die Wettkämpfe beginnen nach dem Anreise- und einem Trainingstag am Montag, den 26. Februar, mit den Entscheidungen in den </w:t>
      </w:r>
      <w:proofErr w:type="spellStart"/>
      <w:r w:rsidRPr="00667A67">
        <w:rPr>
          <w:rFonts w:asciiTheme="minorHAnsi" w:hAnsiTheme="minorHAnsi" w:cstheme="minorHAnsi"/>
          <w:bCs/>
        </w:rPr>
        <w:t>JuniorInnenklassen</w:t>
      </w:r>
      <w:proofErr w:type="spellEnd"/>
      <w:r w:rsidRPr="00667A67">
        <w:rPr>
          <w:rFonts w:asciiTheme="minorHAnsi" w:hAnsiTheme="minorHAnsi" w:cstheme="minorHAnsi"/>
          <w:bCs/>
        </w:rPr>
        <w:t>, die bis Mittwoch stattfinden werden. Donnerstag bis Samstag stehen dann die Erwachsenenbewerbe auf dem Programm, wobei die Quotenplatzentscheidungen mit der Luftpistole am Donnerstag (29.02.) und mit dem Luftgewehr am Freitag (01.03.) fallen werden.</w:t>
      </w:r>
    </w:p>
    <w:p w:rsidR="00667A67" w:rsidRDefault="00667A67" w:rsidP="00667A67">
      <w:pPr>
        <w:spacing w:line="360" w:lineRule="auto"/>
        <w:contextualSpacing/>
        <w:rPr>
          <w:rFonts w:asciiTheme="minorHAnsi" w:hAnsiTheme="minorHAnsi" w:cstheme="minorHAnsi"/>
          <w:bCs/>
        </w:rPr>
      </w:pPr>
    </w:p>
    <w:p w:rsidR="00667A67" w:rsidRDefault="00667A67" w:rsidP="00667A67">
      <w:pPr>
        <w:spacing w:line="360" w:lineRule="auto"/>
        <w:contextualSpacing/>
        <w:rPr>
          <w:rFonts w:asciiTheme="minorHAnsi" w:hAnsiTheme="minorHAnsi" w:cstheme="minorHAnsi"/>
          <w:bCs/>
        </w:rPr>
      </w:pPr>
      <w:r w:rsidRPr="00667A67">
        <w:rPr>
          <w:rFonts w:asciiTheme="minorHAnsi" w:hAnsiTheme="minorHAnsi" w:cstheme="minorHAnsi"/>
          <w:bCs/>
        </w:rPr>
        <w:t xml:space="preserve">Die Aufstellung des österreichischen Teams bei dieser Europameisterschaft kann dem </w:t>
      </w:r>
      <w:hyperlink r:id="rId8" w:history="1">
        <w:r w:rsidRPr="00667A67">
          <w:rPr>
            <w:rStyle w:val="Hyperlink"/>
            <w:rFonts w:asciiTheme="minorHAnsi" w:hAnsiTheme="minorHAnsi" w:cstheme="minorHAnsi"/>
            <w:bCs/>
          </w:rPr>
          <w:t>Beitrag</w:t>
        </w:r>
      </w:hyperlink>
      <w:r w:rsidRPr="00667A67">
        <w:rPr>
          <w:rFonts w:asciiTheme="minorHAnsi" w:hAnsiTheme="minorHAnsi" w:cstheme="minorHAnsi"/>
          <w:bCs/>
        </w:rPr>
        <w:t xml:space="preserve"> sowie der </w:t>
      </w:r>
      <w:hyperlink r:id="rId9" w:history="1">
        <w:r w:rsidRPr="00667A67">
          <w:rPr>
            <w:rStyle w:val="Hyperlink"/>
            <w:rFonts w:asciiTheme="minorHAnsi" w:hAnsiTheme="minorHAnsi" w:cstheme="minorHAnsi"/>
            <w:bCs/>
          </w:rPr>
          <w:t>Pressemitteilung</w:t>
        </w:r>
      </w:hyperlink>
      <w:r w:rsidRPr="00667A67">
        <w:rPr>
          <w:rFonts w:asciiTheme="minorHAnsi" w:hAnsiTheme="minorHAnsi" w:cstheme="minorHAnsi"/>
          <w:bCs/>
        </w:rPr>
        <w:t xml:space="preserve"> vom 2. Januar 2024 entnommen werden.</w:t>
      </w:r>
    </w:p>
    <w:p w:rsidR="00667A67" w:rsidRPr="00667A67" w:rsidRDefault="00667A67" w:rsidP="00667A67">
      <w:pPr>
        <w:spacing w:line="360" w:lineRule="auto"/>
        <w:contextualSpacing/>
        <w:rPr>
          <w:rFonts w:asciiTheme="minorHAnsi" w:hAnsiTheme="minorHAnsi" w:cstheme="minorHAnsi"/>
          <w:bCs/>
        </w:rPr>
      </w:pPr>
    </w:p>
    <w:p w:rsidR="00667A67" w:rsidRPr="00667A67" w:rsidRDefault="00667A67" w:rsidP="00667A67">
      <w:pPr>
        <w:spacing w:line="360" w:lineRule="auto"/>
        <w:contextualSpacing/>
        <w:rPr>
          <w:rFonts w:asciiTheme="minorHAnsi" w:hAnsiTheme="minorHAnsi" w:cstheme="minorHAnsi"/>
          <w:bCs/>
          <w:i/>
        </w:rPr>
      </w:pPr>
      <w:r>
        <w:rPr>
          <w:rFonts w:asciiTheme="minorHAnsi" w:hAnsiTheme="minorHAnsi" w:cstheme="minorHAnsi"/>
          <w:bCs/>
          <w:i/>
        </w:rPr>
        <w:t>Weitere</w:t>
      </w:r>
      <w:r w:rsidRPr="00667A67">
        <w:rPr>
          <w:rFonts w:asciiTheme="minorHAnsi" w:hAnsiTheme="minorHAnsi" w:cstheme="minorHAnsi"/>
          <w:bCs/>
          <w:i/>
        </w:rPr>
        <w:t xml:space="preserve"> Informationen</w:t>
      </w:r>
      <w:r>
        <w:rPr>
          <w:rFonts w:asciiTheme="minorHAnsi" w:hAnsiTheme="minorHAnsi" w:cstheme="minorHAnsi"/>
          <w:bCs/>
          <w:i/>
        </w:rPr>
        <w:t xml:space="preserve"> &amp; Zeitplan:</w:t>
      </w:r>
    </w:p>
    <w:p w:rsidR="00667A67" w:rsidRPr="00667A67" w:rsidRDefault="00667A67" w:rsidP="00667A67">
      <w:pPr>
        <w:spacing w:line="360" w:lineRule="auto"/>
        <w:contextualSpacing/>
        <w:rPr>
          <w:rFonts w:asciiTheme="minorHAnsi" w:hAnsiTheme="minorHAnsi" w:cstheme="minorHAnsi"/>
          <w:bCs/>
          <w:i/>
        </w:rPr>
      </w:pPr>
      <w:hyperlink r:id="rId10" w:history="1">
        <w:r w:rsidRPr="00667A67">
          <w:rPr>
            <w:rStyle w:val="Hyperlink"/>
            <w:rFonts w:asciiTheme="minorHAnsi" w:hAnsiTheme="minorHAnsi" w:cstheme="minorHAnsi"/>
            <w:bCs/>
            <w:i/>
          </w:rPr>
          <w:t>esc-shooting.org</w:t>
        </w:r>
      </w:hyperlink>
    </w:p>
    <w:p w:rsidR="00667A67" w:rsidRPr="00667A67" w:rsidRDefault="00667A67" w:rsidP="00667A67">
      <w:pPr>
        <w:spacing w:line="360" w:lineRule="auto"/>
        <w:contextualSpacing/>
        <w:rPr>
          <w:rFonts w:asciiTheme="minorHAnsi" w:hAnsiTheme="minorHAnsi" w:cstheme="minorHAnsi"/>
          <w:bCs/>
          <w:i/>
        </w:rPr>
      </w:pPr>
      <w:hyperlink r:id="rId11" w:history="1">
        <w:r w:rsidRPr="00667A67">
          <w:rPr>
            <w:rStyle w:val="Hyperlink"/>
            <w:rFonts w:asciiTheme="minorHAnsi" w:hAnsiTheme="minorHAnsi" w:cstheme="minorHAnsi"/>
            <w:bCs/>
            <w:i/>
          </w:rPr>
          <w:t>www.issf-sports.org</w:t>
        </w:r>
      </w:hyperlink>
    </w:p>
    <w:sectPr w:rsidR="00667A67" w:rsidRPr="00667A67" w:rsidSect="00D97200">
      <w:headerReference w:type="default" r:id="rId12"/>
      <w:footerReference w:type="default" r:id="rId13"/>
      <w:headerReference w:type="first" r:id="rId14"/>
      <w:footerReference w:type="first" r:id="rId15"/>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19D" w:rsidRDefault="004E019D">
      <w:r>
        <w:separator/>
      </w:r>
    </w:p>
  </w:endnote>
  <w:endnote w:type="continuationSeparator" w:id="0">
    <w:p w:rsidR="004E019D" w:rsidRDefault="004E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19D" w:rsidRDefault="004E019D">
      <w:r>
        <w:separator/>
      </w:r>
    </w:p>
  </w:footnote>
  <w:footnote w:type="continuationSeparator" w:id="0">
    <w:p w:rsidR="004E019D" w:rsidRDefault="004E0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19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67A67"/>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B088F"/>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oesb-mannschaft-fuer-luftdruckwaffen-em-in-gyoer-nominier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sf-sports.org/competitions/venue.ashx?cshipid=316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c-shooting.org/calendar/view/660-2024-european-championships-10m-gyor-hungary" TargetMode="External"/><Relationship Id="rId4" Type="http://schemas.openxmlformats.org/officeDocument/2006/relationships/settings" Target="settings.xml"/><Relationship Id="rId9" Type="http://schemas.openxmlformats.org/officeDocument/2006/relationships/hyperlink" Target="https://www.schuetzenbund.at/presse/pressemitteilungen-2024/"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8EF09-DBCC-41A9-ABB0-E424BC1A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15</cp:revision>
  <cp:lastPrinted>2021-07-05T13:17:00Z</cp:lastPrinted>
  <dcterms:created xsi:type="dcterms:W3CDTF">2023-02-06T11:23:00Z</dcterms:created>
  <dcterms:modified xsi:type="dcterms:W3CDTF">2024-02-16T10:07:00Z</dcterms:modified>
</cp:coreProperties>
</file>