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F9667F" w:rsidRDefault="00F9667F" w:rsidP="00E21C1B">
      <w:pPr>
        <w:rPr>
          <w:rFonts w:asciiTheme="minorHAnsi" w:hAnsiTheme="minorHAnsi" w:cstheme="minorHAnsi"/>
        </w:rPr>
      </w:pPr>
    </w:p>
    <w:p w:rsidR="00345C93" w:rsidRDefault="00345C93"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13746A" w:rsidRDefault="0013746A" w:rsidP="002D7276">
      <w:pPr>
        <w:spacing w:line="276" w:lineRule="auto"/>
        <w:rPr>
          <w:rFonts w:asciiTheme="minorHAnsi" w:hAnsiTheme="minorHAnsi" w:cstheme="minorHAnsi"/>
          <w:b/>
          <w:sz w:val="32"/>
          <w:szCs w:val="32"/>
          <w:lang w:val="de-DE"/>
        </w:rPr>
      </w:pPr>
      <w:r w:rsidRPr="0013746A">
        <w:rPr>
          <w:rFonts w:asciiTheme="minorHAnsi" w:hAnsiTheme="minorHAnsi" w:cstheme="minorHAnsi"/>
          <w:b/>
          <w:sz w:val="32"/>
          <w:szCs w:val="32"/>
          <w:lang w:val="de-DE"/>
        </w:rPr>
        <w:t>Mathis holt EG-Quotenplatz im KK-Dreistellungsmatch</w:t>
      </w:r>
    </w:p>
    <w:p w:rsidR="000E0A5A" w:rsidRPr="00042B3A" w:rsidRDefault="0013746A"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8</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13746A" w:rsidRPr="0013746A" w:rsidRDefault="0013746A" w:rsidP="0013746A">
      <w:pPr>
        <w:spacing w:line="360" w:lineRule="auto"/>
        <w:contextualSpacing/>
        <w:rPr>
          <w:rFonts w:asciiTheme="minorHAnsi" w:hAnsiTheme="minorHAnsi" w:cstheme="minorHAnsi"/>
          <w:b/>
          <w:bCs/>
          <w:lang w:val="de-DE"/>
        </w:rPr>
      </w:pPr>
      <w:r w:rsidRPr="0013746A">
        <w:rPr>
          <w:rFonts w:asciiTheme="minorHAnsi" w:hAnsiTheme="minorHAnsi" w:cstheme="minorHAnsi"/>
          <w:b/>
          <w:bCs/>
          <w:lang w:val="de-DE"/>
        </w:rPr>
        <w:t>Obwohl es sich für Patrick Diem als Achtem (weil RPO-Starter) und Thomas Mathis als Elftem letztendlich nicht für das Finale ausging, boten die ÖSB-Schützen im heutigen KK-Dreistellungsmatch der Europameisterschaft für 25 und 50m in Osijek tolle Leistungen – für Mathis wurde diese mit einem Quotenplatz bei den European Games belohnt. Beste Frau war Rebecca Köck auf Rang 24.</w:t>
      </w:r>
    </w:p>
    <w:p w:rsidR="0013746A" w:rsidRDefault="0013746A" w:rsidP="0013746A">
      <w:pPr>
        <w:spacing w:line="360" w:lineRule="auto"/>
        <w:contextualSpacing/>
        <w:rPr>
          <w:rFonts w:asciiTheme="minorHAnsi" w:hAnsiTheme="minorHAnsi" w:cstheme="minorHAnsi"/>
          <w:bCs/>
          <w:lang w:val="de-DE"/>
        </w:rPr>
      </w:pPr>
    </w:p>
    <w:p w:rsidR="0013746A" w:rsidRP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t>66 Athleten begaben sich heute in das EM-Match der olympischen Disziplin KK-Dreistellung der Männer, darunter fünf Österreicher. Anfangs sah es nach einem wahren Sensationserfolg für das ÖSB-Team aus: Mit Patrick Diem, Alexander Schmirl und Thomas Mathis lagen nach den ersten beiden Stellungen gleich drei Österreicher im Feld der besten acht, also auf Finalkurs. Am Ende erreichte nur Patrick Diem, der zwischenzeitlich sogar in Führung gelegen hatte mit 590 Ringen, davon 197 im Kniend, 200 im Liegend und 193 im Stehend, Rang acht und ein Top-acht-Resultat, was zwar ein tolles Ergebnis für den Vorarlberger darstellte, ihm am Ende jedoch nicht die verdiente Finalteilnahme bescherte, da er als RPO-Schütze an den Start gegangen war.</w:t>
      </w:r>
    </w:p>
    <w:p w:rsidR="0013746A" w:rsidRP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t xml:space="preserve">Sehr knapp war der Ausgang dieser EM-Konkurrenz für Thomas Mathis. Der Vorarlberger Teamkollege Diems erreichte 196 im Kniend, 198 im Liegend und 195 im Stehend, was ihm gesamt 589 Ringe einbrachte. Dasselbe Resultat (inklusive Innenringzehner) hatte auch Maciej Kowalewicz (POL) erreicht, so zählte für die Reihung die letzte Serie, in der Mathis einen Ring weniger erzielt hatte und damit den </w:t>
      </w:r>
      <w:r w:rsidR="009E5657">
        <w:rPr>
          <w:rFonts w:asciiTheme="minorHAnsi" w:hAnsiTheme="minorHAnsi" w:cstheme="minorHAnsi"/>
          <w:bCs/>
          <w:lang w:val="de-DE"/>
        </w:rPr>
        <w:t>starken</w:t>
      </w:r>
      <w:r w:rsidRPr="0013746A">
        <w:rPr>
          <w:rFonts w:asciiTheme="minorHAnsi" w:hAnsiTheme="minorHAnsi" w:cstheme="minorHAnsi"/>
          <w:bCs/>
          <w:lang w:val="de-DE"/>
        </w:rPr>
        <w:t xml:space="preserve"> elften Rang einnahm. Zwei Schützen vor ihm, Diem und Petr Nymbursky (CZE), waren als RPO-Schützen gemeldet und daher nicht finalteilnahmeberechtigt. Damit verpasste Mathis, wie bereits beim WC Granada, das Finale auf die denkbar knappste Weise. Grund zur Freude gab es dennoch für den 36-Jährigen, denn sein neunter Rang exklusive RPO-Schützen wurde mit einem Quotenplatz für die European Games 2027 belohnt, der an die besten zehn dieser Konkurrenz vergeben wurde.</w:t>
      </w:r>
    </w:p>
    <w:p w:rsidR="0013746A" w:rsidRP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lastRenderedPageBreak/>
        <w:t xml:space="preserve">Auch der Weltmeister von 2025 in dieser Disziplin, Alexander Schmirl, mischte mit 196 Ringen im Kniend und 200 im Liegend ganz vorne mit. 189 Ringe im </w:t>
      </w:r>
      <w:r w:rsidR="009E5657">
        <w:rPr>
          <w:rFonts w:asciiTheme="minorHAnsi" w:hAnsiTheme="minorHAnsi" w:cstheme="minorHAnsi"/>
          <w:bCs/>
          <w:lang w:val="de-DE"/>
        </w:rPr>
        <w:t>Stehend</w:t>
      </w:r>
      <w:bookmarkStart w:id="0" w:name="_GoBack"/>
      <w:bookmarkEnd w:id="0"/>
      <w:r w:rsidRPr="0013746A">
        <w:rPr>
          <w:rFonts w:asciiTheme="minorHAnsi" w:hAnsiTheme="minorHAnsi" w:cstheme="minorHAnsi"/>
          <w:bCs/>
          <w:lang w:val="de-DE"/>
        </w:rPr>
        <w:t xml:space="preserve"> ließen den zweifachen Olympiateilnehmer jedoch weit zurückfallen. Der Niederösterreicher kam mit gesamt 585 Ringen auf den 24. Platz.</w:t>
      </w:r>
    </w:p>
    <w:p w:rsidR="0013746A" w:rsidRP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t>Andreas Thum wurde 44. (581) und Johannes Kuen (577) belegte bei seiner ersten EM-Teilnahme in der Allgemeinen Klasse den 58. Platz. Den Grunddurchgang führte Serhii Kulish (UKR) mit 594 Ringen an, im Finale setzte sich jedoch Patrik Jany (SVK) durch und holte mit 356,6 Ringen den Europameistertitel.</w:t>
      </w:r>
    </w:p>
    <w:p w:rsidR="0013746A" w:rsidRP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t>Mannschaftlich kamen die drei regulär gewerteten Schützen, Mathis, Schmirl und Kuen, auf Rang zehn in der Teamwertung (1751). Diese gewann Tschechien mit 1760 Ringen.</w:t>
      </w:r>
    </w:p>
    <w:p w:rsidR="0013746A" w:rsidRDefault="0013746A" w:rsidP="0013746A">
      <w:pPr>
        <w:spacing w:line="360" w:lineRule="auto"/>
        <w:contextualSpacing/>
        <w:rPr>
          <w:rFonts w:asciiTheme="minorHAnsi" w:hAnsiTheme="minorHAnsi" w:cstheme="minorHAnsi"/>
          <w:bCs/>
          <w:lang w:val="de-DE"/>
        </w:rPr>
      </w:pPr>
    </w:p>
    <w:p w:rsidR="0013746A" w:rsidRPr="0013746A" w:rsidRDefault="0013746A" w:rsidP="0013746A">
      <w:pPr>
        <w:spacing w:line="360" w:lineRule="auto"/>
        <w:contextualSpacing/>
        <w:rPr>
          <w:rFonts w:asciiTheme="minorHAnsi" w:hAnsiTheme="minorHAnsi" w:cstheme="minorHAnsi"/>
          <w:b/>
          <w:bCs/>
          <w:sz w:val="26"/>
          <w:szCs w:val="26"/>
          <w:lang w:val="de-DE"/>
        </w:rPr>
      </w:pPr>
      <w:r w:rsidRPr="0013746A">
        <w:rPr>
          <w:rFonts w:asciiTheme="minorHAnsi" w:hAnsiTheme="minorHAnsi" w:cstheme="minorHAnsi"/>
          <w:b/>
          <w:bCs/>
          <w:sz w:val="26"/>
          <w:szCs w:val="26"/>
          <w:lang w:val="de-DE"/>
        </w:rPr>
        <w:t>Ausblick</w:t>
      </w:r>
    </w:p>
    <w:p w:rsidR="0013746A" w:rsidRDefault="0013746A" w:rsidP="0013746A">
      <w:pPr>
        <w:spacing w:line="360" w:lineRule="auto"/>
        <w:contextualSpacing/>
        <w:rPr>
          <w:rFonts w:asciiTheme="minorHAnsi" w:hAnsiTheme="minorHAnsi" w:cstheme="minorHAnsi"/>
          <w:bCs/>
          <w:lang w:val="de-DE"/>
        </w:rPr>
      </w:pPr>
      <w:r w:rsidRPr="0013746A">
        <w:rPr>
          <w:rFonts w:asciiTheme="minorHAnsi" w:hAnsiTheme="minorHAnsi" w:cstheme="minorHAnsi"/>
          <w:bCs/>
          <w:lang w:val="de-DE"/>
        </w:rPr>
        <w:t>Morgen findet in Osijek der zweite Teil des 25m-Pistolenbewerbs der Frauen – in dessen ersten Teil Sylvia Steiner heute Vormittag bereits stark performte – und des Bewerbs Schnellfeuerpistole der Männer – hier konnte sich Richard Zechmeister in eine gute Ausgangsposition bringen – statt. Außerdem gehen zwei österreichische Teams im ESC Side-Event KK-Dreistellung Duet an den Start.</w:t>
      </w:r>
    </w:p>
    <w:p w:rsidR="0013746A" w:rsidRDefault="0013746A" w:rsidP="002D7276">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8" w:history="1">
        <w:r w:rsidR="00BE7CF9">
          <w:rPr>
            <w:rStyle w:val="Hyperlink"/>
            <w:rFonts w:asciiTheme="minorHAnsi" w:hAnsiTheme="minorHAnsi" w:cstheme="minorHAnsi"/>
            <w:bCs/>
            <w:i/>
            <w:lang w:val="de-DE"/>
          </w:rPr>
          <w:t>www.schuetzenbund.at</w:t>
        </w:r>
      </w:hyperlink>
    </w:p>
    <w:sectPr w:rsidR="006D1D72"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18C" w:rsidRDefault="00B2218C">
      <w:r>
        <w:separator/>
      </w:r>
    </w:p>
  </w:endnote>
  <w:endnote w:type="continuationSeparator" w:id="0">
    <w:p w:rsidR="00B2218C" w:rsidRDefault="00B2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18C" w:rsidRDefault="00B2218C">
      <w:r>
        <w:separator/>
      </w:r>
    </w:p>
  </w:footnote>
  <w:footnote w:type="continuationSeparator" w:id="0">
    <w:p w:rsidR="00B2218C" w:rsidRDefault="00B2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AF49EA"/>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neuigkeiten/esc-em-osijek-mathis-holt-eg-quotenplatz-im-kk-dreistellungsmat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8A781-114F-4C71-8EDB-4B22C939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46</cp:revision>
  <cp:lastPrinted>2026-04-13T08:39:00Z</cp:lastPrinted>
  <dcterms:created xsi:type="dcterms:W3CDTF">2023-02-06T11:23:00Z</dcterms:created>
  <dcterms:modified xsi:type="dcterms:W3CDTF">2026-05-08T15:20:00Z</dcterms:modified>
</cp:coreProperties>
</file>